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A6" w:rsidRDefault="00C20ED9">
      <w:pPr>
        <w:jc w:val="center"/>
        <w:rPr>
          <w:b/>
        </w:rPr>
      </w:pPr>
      <w:r>
        <w:rPr>
          <w:b/>
        </w:rPr>
        <w:t>ӘЛ-ФАРАБИ АТЫНДАҒЫ ҚАЗАҚ ҰЛТТЫҚ УНИВЕРСИТЕТІ</w:t>
      </w:r>
    </w:p>
    <w:p w:rsidR="002D4FA6" w:rsidRDefault="00C20ED9">
      <w:pPr>
        <w:jc w:val="center"/>
        <w:rPr>
          <w:b/>
        </w:rPr>
      </w:pPr>
      <w:r>
        <w:rPr>
          <w:b/>
        </w:rPr>
        <w:t>Медицина және әлеуметтік денсаулық сақтау факультеті</w:t>
      </w:r>
    </w:p>
    <w:p w:rsidR="002D4FA6" w:rsidRDefault="00C20ED9">
      <w:pPr>
        <w:jc w:val="center"/>
        <w:rPr>
          <w:b/>
        </w:rPr>
      </w:pPr>
      <w:r>
        <w:rPr>
          <w:b/>
        </w:rPr>
        <w:t>Жоғарғы медицина мектебі</w:t>
      </w:r>
    </w:p>
    <w:p w:rsidR="002D4FA6" w:rsidRDefault="00C20ED9">
      <w:pPr>
        <w:jc w:val="center"/>
        <w:rPr>
          <w:b/>
        </w:rPr>
      </w:pPr>
      <w:r>
        <w:rPr>
          <w:b/>
        </w:rPr>
        <w:t>Іргелі медицина кафедрасы</w:t>
      </w:r>
    </w:p>
    <w:p w:rsidR="002D4FA6" w:rsidRDefault="00C20ED9">
      <w:pPr>
        <w:jc w:val="center"/>
        <w:rPr>
          <w:b/>
          <w:color w:val="000000"/>
        </w:rPr>
      </w:pPr>
      <w:r>
        <w:rPr>
          <w:b/>
          <w:color w:val="000000"/>
        </w:rPr>
        <w:t xml:space="preserve"> </w:t>
      </w:r>
    </w:p>
    <w:p w:rsidR="002D4FA6" w:rsidRDefault="00C20ED9">
      <w:pPr>
        <w:jc w:val="center"/>
        <w:rPr>
          <w:b/>
          <w:color w:val="000000"/>
        </w:rPr>
      </w:pPr>
      <w:r>
        <w:rPr>
          <w:b/>
          <w:color w:val="000000"/>
        </w:rPr>
        <w:t xml:space="preserve">6BM10101- Медицина </w:t>
      </w:r>
    </w:p>
    <w:p w:rsidR="002D4FA6" w:rsidRDefault="00C20ED9">
      <w:pPr>
        <w:jc w:val="center"/>
        <w:rPr>
          <w:b/>
          <w:color w:val="000000"/>
        </w:rPr>
      </w:pPr>
      <w:r>
        <w:rPr>
          <w:b/>
          <w:color w:val="000000"/>
        </w:rPr>
        <w:t xml:space="preserve">мамандығы бойынша оқу бағдарламасы </w:t>
      </w:r>
    </w:p>
    <w:p w:rsidR="002D4FA6" w:rsidRDefault="002D4FA6">
      <w:pPr>
        <w:rPr>
          <w:color w:val="000000"/>
        </w:rPr>
      </w:pPr>
    </w:p>
    <w:p w:rsidR="002D4FA6" w:rsidRDefault="00C20ED9">
      <w:pPr>
        <w:ind w:firstLine="567"/>
        <w:jc w:val="center"/>
        <w:rPr>
          <w:color w:val="000000"/>
        </w:rPr>
      </w:pPr>
      <w:r>
        <w:rPr>
          <w:color w:val="000000"/>
        </w:rPr>
        <w:t xml:space="preserve">«Медицинаның молекулалық, жасушалық және генетикалық негіздері» </w:t>
      </w:r>
    </w:p>
    <w:p w:rsidR="002D4FA6" w:rsidRDefault="00C20ED9">
      <w:pPr>
        <w:ind w:firstLine="567"/>
        <w:jc w:val="center"/>
        <w:rPr>
          <w:color w:val="000000"/>
        </w:rPr>
      </w:pPr>
      <w:r>
        <w:rPr>
          <w:color w:val="000000"/>
        </w:rPr>
        <w:t xml:space="preserve">пәні бойынша СӨЖ орындау кестесі </w:t>
      </w:r>
    </w:p>
    <w:p w:rsidR="002D4FA6" w:rsidRDefault="002D4FA6">
      <w:pPr>
        <w:ind w:firstLine="567"/>
        <w:jc w:val="center"/>
        <w:rPr>
          <w:color w:val="000000"/>
        </w:rPr>
      </w:pPr>
    </w:p>
    <w:tbl>
      <w:tblPr>
        <w:tblStyle w:val="a7"/>
        <w:tblW w:w="93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4"/>
        <w:gridCol w:w="4110"/>
        <w:gridCol w:w="1710"/>
        <w:gridCol w:w="1845"/>
        <w:gridCol w:w="1230"/>
      </w:tblGrid>
      <w:tr w:rsidR="002D4FA6">
        <w:trPr>
          <w:cantSplit/>
          <w:tblHeader/>
        </w:trPr>
        <w:tc>
          <w:tcPr>
            <w:tcW w:w="484" w:type="dxa"/>
            <w:vAlign w:val="center"/>
          </w:tcPr>
          <w:p w:rsidR="002D4FA6" w:rsidRPr="00C20ED9" w:rsidRDefault="00C20ED9">
            <w:pPr>
              <w:jc w:val="both"/>
              <w:rPr>
                <w:rFonts w:ascii="Times New Roman" w:hAnsi="Times New Roman" w:cs="Times New Roman"/>
                <w:b/>
                <w:sz w:val="24"/>
              </w:rPr>
            </w:pPr>
            <w:r w:rsidRPr="00C20ED9">
              <w:rPr>
                <w:rFonts w:ascii="Times New Roman" w:hAnsi="Times New Roman" w:cs="Times New Roman"/>
                <w:b/>
                <w:sz w:val="24"/>
              </w:rPr>
              <w:t>№</w:t>
            </w:r>
          </w:p>
        </w:tc>
        <w:tc>
          <w:tcPr>
            <w:tcW w:w="4110" w:type="dxa"/>
            <w:vAlign w:val="center"/>
          </w:tcPr>
          <w:p w:rsidR="002D4FA6" w:rsidRPr="00C20ED9" w:rsidRDefault="00C20ED9">
            <w:pPr>
              <w:jc w:val="center"/>
              <w:rPr>
                <w:rFonts w:ascii="Times New Roman" w:hAnsi="Times New Roman" w:cs="Times New Roman"/>
                <w:b/>
                <w:sz w:val="24"/>
              </w:rPr>
            </w:pPr>
            <w:r w:rsidRPr="00C20ED9">
              <w:rPr>
                <w:rFonts w:ascii="Times New Roman" w:hAnsi="Times New Roman" w:cs="Times New Roman"/>
                <w:b/>
                <w:sz w:val="24"/>
              </w:rPr>
              <w:t>СӨЖ тапсырмасы</w:t>
            </w:r>
          </w:p>
        </w:tc>
        <w:tc>
          <w:tcPr>
            <w:tcW w:w="1710" w:type="dxa"/>
            <w:vAlign w:val="center"/>
          </w:tcPr>
          <w:p w:rsidR="002D4FA6" w:rsidRPr="00C20ED9" w:rsidRDefault="00C20ED9">
            <w:pPr>
              <w:jc w:val="center"/>
              <w:rPr>
                <w:rFonts w:ascii="Times New Roman" w:hAnsi="Times New Roman" w:cs="Times New Roman"/>
                <w:b/>
                <w:sz w:val="24"/>
              </w:rPr>
            </w:pPr>
            <w:r w:rsidRPr="00C20ED9">
              <w:rPr>
                <w:rFonts w:ascii="Times New Roman" w:hAnsi="Times New Roman" w:cs="Times New Roman"/>
                <w:b/>
                <w:sz w:val="24"/>
              </w:rPr>
              <w:t xml:space="preserve">СӨЖ орындалу түрі </w:t>
            </w:r>
          </w:p>
        </w:tc>
        <w:tc>
          <w:tcPr>
            <w:tcW w:w="1845" w:type="dxa"/>
            <w:vAlign w:val="center"/>
          </w:tcPr>
          <w:p w:rsidR="002D4FA6" w:rsidRPr="00C20ED9" w:rsidRDefault="00C20ED9">
            <w:pPr>
              <w:jc w:val="center"/>
              <w:rPr>
                <w:rFonts w:ascii="Times New Roman" w:hAnsi="Times New Roman" w:cs="Times New Roman"/>
                <w:b/>
                <w:sz w:val="24"/>
              </w:rPr>
            </w:pPr>
            <w:r w:rsidRPr="00C20ED9">
              <w:rPr>
                <w:rFonts w:ascii="Times New Roman" w:hAnsi="Times New Roman" w:cs="Times New Roman"/>
                <w:b/>
                <w:sz w:val="24"/>
              </w:rPr>
              <w:t>СӨЖ тапсыру уақыты (оқу жұмасы)</w:t>
            </w:r>
          </w:p>
        </w:tc>
        <w:tc>
          <w:tcPr>
            <w:tcW w:w="1230" w:type="dxa"/>
            <w:vAlign w:val="center"/>
          </w:tcPr>
          <w:p w:rsidR="002D4FA6" w:rsidRPr="00C20ED9" w:rsidRDefault="00C20ED9">
            <w:pPr>
              <w:jc w:val="center"/>
              <w:rPr>
                <w:rFonts w:ascii="Times New Roman" w:hAnsi="Times New Roman" w:cs="Times New Roman"/>
                <w:b/>
                <w:sz w:val="24"/>
              </w:rPr>
            </w:pPr>
            <w:r w:rsidRPr="00C20ED9">
              <w:rPr>
                <w:rFonts w:ascii="Times New Roman" w:hAnsi="Times New Roman" w:cs="Times New Roman"/>
                <w:b/>
                <w:sz w:val="24"/>
              </w:rPr>
              <w:t>Баллдар</w:t>
            </w:r>
          </w:p>
        </w:tc>
      </w:tr>
      <w:tr w:rsidR="002D4FA6">
        <w:trPr>
          <w:cantSplit/>
          <w:tblHeader/>
        </w:trPr>
        <w:tc>
          <w:tcPr>
            <w:tcW w:w="484" w:type="dxa"/>
          </w:tcPr>
          <w:p w:rsidR="002D4FA6" w:rsidRPr="00C20ED9" w:rsidRDefault="00C20ED9">
            <w:pPr>
              <w:jc w:val="both"/>
              <w:rPr>
                <w:rFonts w:ascii="Times New Roman" w:hAnsi="Times New Roman" w:cs="Times New Roman"/>
                <w:sz w:val="24"/>
              </w:rPr>
            </w:pPr>
            <w:r w:rsidRPr="00C20ED9">
              <w:rPr>
                <w:rFonts w:ascii="Times New Roman" w:hAnsi="Times New Roman" w:cs="Times New Roman"/>
                <w:sz w:val="24"/>
              </w:rPr>
              <w:t>1</w:t>
            </w:r>
          </w:p>
        </w:tc>
        <w:tc>
          <w:tcPr>
            <w:tcW w:w="4110" w:type="dxa"/>
          </w:tcPr>
          <w:p w:rsidR="002D4FA6" w:rsidRPr="00C20ED9" w:rsidRDefault="00C20ED9">
            <w:pPr>
              <w:jc w:val="both"/>
              <w:rPr>
                <w:rFonts w:ascii="Times New Roman" w:hAnsi="Times New Roman" w:cs="Times New Roman"/>
                <w:sz w:val="24"/>
              </w:rPr>
            </w:pPr>
            <w:r w:rsidRPr="00C20ED9">
              <w:rPr>
                <w:rFonts w:ascii="Times New Roman" w:hAnsi="Times New Roman" w:cs="Times New Roman"/>
                <w:sz w:val="24"/>
              </w:rPr>
              <w:t>Берілген тақырыпқа презентация дайындау: – Рекомбинантты ДНҚ технологиясы: Әлем өзгеруге жақын. Рекомбинантты ДНҚ технологиясын қолданатын бактериялар адам инсулинін жасау процесін көрсету үшін эскиз немесе макет жасаңыз. (плазмида, вектор).</w:t>
            </w:r>
          </w:p>
        </w:tc>
        <w:tc>
          <w:tcPr>
            <w:tcW w:w="1710" w:type="dxa"/>
          </w:tcPr>
          <w:p w:rsidR="002D4FA6" w:rsidRPr="00C20ED9" w:rsidRDefault="00C20ED9">
            <w:pPr>
              <w:jc w:val="center"/>
              <w:rPr>
                <w:rFonts w:ascii="Times New Roman" w:hAnsi="Times New Roman" w:cs="Times New Roman"/>
                <w:sz w:val="24"/>
              </w:rPr>
            </w:pPr>
            <w:r w:rsidRPr="00C20ED9">
              <w:rPr>
                <w:rFonts w:ascii="Times New Roman" w:hAnsi="Times New Roman" w:cs="Times New Roman"/>
                <w:sz w:val="24"/>
              </w:rPr>
              <w:t>Презентация</w:t>
            </w:r>
          </w:p>
        </w:tc>
        <w:tc>
          <w:tcPr>
            <w:tcW w:w="1845" w:type="dxa"/>
          </w:tcPr>
          <w:p w:rsidR="002D4FA6" w:rsidRPr="00C20ED9" w:rsidRDefault="00C20ED9">
            <w:pPr>
              <w:jc w:val="center"/>
              <w:rPr>
                <w:rFonts w:ascii="Times New Roman" w:hAnsi="Times New Roman" w:cs="Times New Roman"/>
                <w:sz w:val="24"/>
              </w:rPr>
            </w:pPr>
            <w:r w:rsidRPr="00C20ED9">
              <w:rPr>
                <w:rFonts w:ascii="Times New Roman" w:hAnsi="Times New Roman" w:cs="Times New Roman"/>
                <w:sz w:val="24"/>
              </w:rPr>
              <w:t>5 апта</w:t>
            </w:r>
          </w:p>
        </w:tc>
        <w:tc>
          <w:tcPr>
            <w:tcW w:w="1230" w:type="dxa"/>
          </w:tcPr>
          <w:p w:rsidR="002D4FA6" w:rsidRPr="00C20ED9" w:rsidRDefault="00C20ED9">
            <w:pPr>
              <w:jc w:val="center"/>
              <w:rPr>
                <w:rFonts w:ascii="Times New Roman" w:hAnsi="Times New Roman" w:cs="Times New Roman"/>
                <w:sz w:val="24"/>
              </w:rPr>
            </w:pPr>
            <w:r w:rsidRPr="00C20ED9">
              <w:rPr>
                <w:rFonts w:ascii="Times New Roman" w:hAnsi="Times New Roman" w:cs="Times New Roman"/>
                <w:sz w:val="24"/>
              </w:rPr>
              <w:t>8 балл</w:t>
            </w:r>
          </w:p>
        </w:tc>
      </w:tr>
      <w:tr w:rsidR="002D4FA6">
        <w:trPr>
          <w:cantSplit/>
          <w:tblHeader/>
        </w:trPr>
        <w:tc>
          <w:tcPr>
            <w:tcW w:w="484" w:type="dxa"/>
          </w:tcPr>
          <w:p w:rsidR="002D4FA6" w:rsidRPr="00C20ED9" w:rsidRDefault="00C20ED9">
            <w:pPr>
              <w:jc w:val="both"/>
              <w:rPr>
                <w:rFonts w:ascii="Times New Roman" w:hAnsi="Times New Roman" w:cs="Times New Roman"/>
                <w:sz w:val="24"/>
                <w:lang w:val="ru-RU"/>
              </w:rPr>
            </w:pPr>
            <w:r w:rsidRPr="00C20ED9">
              <w:rPr>
                <w:rFonts w:ascii="Times New Roman" w:hAnsi="Times New Roman" w:cs="Times New Roman"/>
                <w:sz w:val="24"/>
                <w:lang w:val="ru-RU"/>
              </w:rPr>
              <w:t>2</w:t>
            </w:r>
          </w:p>
        </w:tc>
        <w:tc>
          <w:tcPr>
            <w:tcW w:w="4110" w:type="dxa"/>
          </w:tcPr>
          <w:p w:rsidR="002D4FA6" w:rsidRPr="00C20ED9" w:rsidRDefault="00C20ED9">
            <w:pPr>
              <w:jc w:val="both"/>
              <w:rPr>
                <w:rFonts w:ascii="Times New Roman" w:hAnsi="Times New Roman" w:cs="Times New Roman"/>
                <w:sz w:val="24"/>
              </w:rPr>
            </w:pPr>
            <w:r w:rsidRPr="00C20ED9">
              <w:rPr>
                <w:rFonts w:ascii="Times New Roman" w:hAnsi="Times New Roman" w:cs="Times New Roman"/>
                <w:sz w:val="24"/>
              </w:rPr>
              <w:t>Гендік терапия: мифтер және шыңдық.</w:t>
            </w:r>
            <w:r w:rsidRPr="00C20ED9">
              <w:rPr>
                <w:rFonts w:ascii="Times New Roman" w:hAnsi="Times New Roman" w:cs="Times New Roman"/>
                <w:i/>
                <w:sz w:val="24"/>
              </w:rPr>
              <w:t xml:space="preserve"> </w:t>
            </w:r>
            <w:r w:rsidRPr="00C20ED9">
              <w:rPr>
                <w:rFonts w:ascii="Times New Roman" w:hAnsi="Times New Roman" w:cs="Times New Roman"/>
                <w:sz w:val="24"/>
              </w:rPr>
              <w:t>Топ студенттері екі топшаға бөлінеді.</w:t>
            </w:r>
            <w:r w:rsidRPr="00C20ED9">
              <w:rPr>
                <w:rFonts w:ascii="Times New Roman" w:hAnsi="Times New Roman" w:cs="Times New Roman"/>
                <w:i/>
                <w:sz w:val="24"/>
              </w:rPr>
              <w:t xml:space="preserve"> </w:t>
            </w:r>
            <w:r w:rsidRPr="00C20ED9">
              <w:rPr>
                <w:rFonts w:ascii="Times New Roman" w:hAnsi="Times New Roman" w:cs="Times New Roman"/>
                <w:sz w:val="24"/>
              </w:rPr>
              <w:t>Бірінші топша «Гендік терапия - миф» (гендік терапия проблемалары) презентациясын, ал екінші топша - «Гендік терапия - шыңдық» (гендік терапия жетістіктері) презентациясын дайындайды. Ақпарат соңғы бес жыл ішіндегі PubMed(https://www.ncbi.nlm.nih.gov/pubmed) мәліметтер базасындағы ғылыми мақалалардан алынуы қажет. Әрбір топша өз ойын ғылыми факттер негізінде қорғайды.</w:t>
            </w:r>
          </w:p>
        </w:tc>
        <w:tc>
          <w:tcPr>
            <w:tcW w:w="1710" w:type="dxa"/>
          </w:tcPr>
          <w:p w:rsidR="002D4FA6" w:rsidRPr="00C20ED9" w:rsidRDefault="00C20ED9">
            <w:pPr>
              <w:jc w:val="center"/>
              <w:rPr>
                <w:rFonts w:ascii="Times New Roman" w:hAnsi="Times New Roman" w:cs="Times New Roman"/>
                <w:sz w:val="24"/>
              </w:rPr>
            </w:pPr>
            <w:r w:rsidRPr="00C20ED9">
              <w:rPr>
                <w:rFonts w:ascii="Times New Roman" w:hAnsi="Times New Roman" w:cs="Times New Roman"/>
                <w:sz w:val="24"/>
              </w:rPr>
              <w:t>Презентация</w:t>
            </w:r>
          </w:p>
          <w:p w:rsidR="002D4FA6" w:rsidRPr="00C20ED9" w:rsidRDefault="002D4FA6">
            <w:pPr>
              <w:jc w:val="center"/>
              <w:rPr>
                <w:rFonts w:ascii="Times New Roman" w:hAnsi="Times New Roman" w:cs="Times New Roman"/>
                <w:sz w:val="24"/>
              </w:rPr>
            </w:pPr>
            <w:bookmarkStart w:id="0" w:name="_heading=h.gjdgxs" w:colFirst="0" w:colLast="0"/>
            <w:bookmarkEnd w:id="0"/>
          </w:p>
        </w:tc>
        <w:tc>
          <w:tcPr>
            <w:tcW w:w="1845" w:type="dxa"/>
          </w:tcPr>
          <w:p w:rsidR="002D4FA6" w:rsidRPr="00C20ED9" w:rsidRDefault="00C20ED9">
            <w:pPr>
              <w:jc w:val="center"/>
              <w:rPr>
                <w:rFonts w:ascii="Times New Roman" w:hAnsi="Times New Roman" w:cs="Times New Roman"/>
                <w:sz w:val="24"/>
              </w:rPr>
            </w:pPr>
            <w:r w:rsidRPr="00C20ED9">
              <w:rPr>
                <w:rFonts w:ascii="Times New Roman" w:hAnsi="Times New Roman" w:cs="Times New Roman"/>
                <w:sz w:val="24"/>
              </w:rPr>
              <w:t>12 апта</w:t>
            </w:r>
          </w:p>
        </w:tc>
        <w:tc>
          <w:tcPr>
            <w:tcW w:w="1230" w:type="dxa"/>
          </w:tcPr>
          <w:p w:rsidR="002D4FA6" w:rsidRPr="00C20ED9" w:rsidRDefault="00C20ED9">
            <w:pPr>
              <w:jc w:val="center"/>
              <w:rPr>
                <w:rFonts w:ascii="Times New Roman" w:hAnsi="Times New Roman" w:cs="Times New Roman"/>
                <w:sz w:val="24"/>
              </w:rPr>
            </w:pPr>
            <w:r w:rsidRPr="00C20ED9">
              <w:rPr>
                <w:rFonts w:ascii="Times New Roman" w:hAnsi="Times New Roman" w:cs="Times New Roman"/>
                <w:sz w:val="24"/>
              </w:rPr>
              <w:t>6 балл</w:t>
            </w:r>
          </w:p>
        </w:tc>
      </w:tr>
    </w:tbl>
    <w:p w:rsidR="002D4FA6" w:rsidRDefault="002D4FA6"/>
    <w:p w:rsidR="002D4FA6" w:rsidRDefault="00C20ED9">
      <w:pPr>
        <w:jc w:val="both"/>
        <w:rPr>
          <w:color w:val="000000"/>
        </w:rPr>
      </w:pPr>
      <w:r>
        <w:rPr>
          <w:color w:val="000000"/>
        </w:rPr>
        <w:t xml:space="preserve">СӨЖ орындау үшін курста көрсетілген оқу әдебиеттері және көздерімен қатар, өзіндік табылған мәлімет көздері де қолданылады. СӨЖ қатаң түрде кесте бойынша тапсырылады. Себепті жағдайлар кезінде (растайтын құжаттар болған кезде) СӨЖ кестеден тыс қабылданылады. </w:t>
      </w:r>
    </w:p>
    <w:p w:rsidR="002D4FA6" w:rsidRDefault="002D4FA6">
      <w:pPr>
        <w:jc w:val="both"/>
      </w:pPr>
    </w:p>
    <w:p w:rsidR="002D4FA6" w:rsidRDefault="002D4FA6">
      <w:pPr>
        <w:jc w:val="both"/>
      </w:pPr>
    </w:p>
    <w:p w:rsidR="002D4FA6" w:rsidRDefault="00C20ED9">
      <w:pPr>
        <w:jc w:val="both"/>
      </w:pPr>
      <w:r>
        <w:t>\</w:t>
      </w:r>
    </w:p>
    <w:p w:rsidR="002D4FA6" w:rsidRDefault="002D4FA6">
      <w:pPr>
        <w:jc w:val="both"/>
      </w:pPr>
    </w:p>
    <w:sectPr w:rsidR="002D4FA6" w:rsidSect="002D4FA6">
      <w:pgSz w:w="11906" w:h="16838"/>
      <w:pgMar w:top="1134" w:right="567" w:bottom="1134" w:left="1701" w:header="720" w:footer="720"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D4FA6"/>
    <w:rsid w:val="000C0469"/>
    <w:rsid w:val="002D4FA6"/>
    <w:rsid w:val="005A26AD"/>
    <w:rsid w:val="00C20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AA"/>
  </w:style>
  <w:style w:type="paragraph" w:styleId="1">
    <w:name w:val="heading 1"/>
    <w:basedOn w:val="a"/>
    <w:next w:val="a"/>
    <w:rsid w:val="002D4FA6"/>
    <w:pPr>
      <w:keepNext/>
      <w:keepLines/>
      <w:spacing w:before="480" w:after="120"/>
      <w:outlineLvl w:val="0"/>
    </w:pPr>
    <w:rPr>
      <w:b/>
      <w:sz w:val="48"/>
      <w:szCs w:val="48"/>
    </w:rPr>
  </w:style>
  <w:style w:type="paragraph" w:styleId="2">
    <w:name w:val="heading 2"/>
    <w:basedOn w:val="a"/>
    <w:next w:val="a"/>
    <w:rsid w:val="002D4FA6"/>
    <w:pPr>
      <w:keepNext/>
      <w:keepLines/>
      <w:spacing w:before="360" w:after="80"/>
      <w:outlineLvl w:val="1"/>
    </w:pPr>
    <w:rPr>
      <w:b/>
      <w:sz w:val="36"/>
      <w:szCs w:val="36"/>
    </w:rPr>
  </w:style>
  <w:style w:type="paragraph" w:styleId="3">
    <w:name w:val="heading 3"/>
    <w:basedOn w:val="a"/>
    <w:next w:val="a"/>
    <w:rsid w:val="002D4FA6"/>
    <w:pPr>
      <w:keepNext/>
      <w:keepLines/>
      <w:spacing w:before="280" w:after="80"/>
      <w:outlineLvl w:val="2"/>
    </w:pPr>
    <w:rPr>
      <w:b/>
      <w:sz w:val="28"/>
      <w:szCs w:val="28"/>
    </w:rPr>
  </w:style>
  <w:style w:type="paragraph" w:styleId="4">
    <w:name w:val="heading 4"/>
    <w:basedOn w:val="a"/>
    <w:next w:val="a"/>
    <w:rsid w:val="002D4FA6"/>
    <w:pPr>
      <w:keepNext/>
      <w:keepLines/>
      <w:spacing w:before="240" w:after="40"/>
      <w:outlineLvl w:val="3"/>
    </w:pPr>
    <w:rPr>
      <w:b/>
    </w:rPr>
  </w:style>
  <w:style w:type="paragraph" w:styleId="5">
    <w:name w:val="heading 5"/>
    <w:basedOn w:val="a"/>
    <w:next w:val="a"/>
    <w:rsid w:val="002D4FA6"/>
    <w:pPr>
      <w:keepNext/>
      <w:keepLines/>
      <w:spacing w:before="220" w:after="40"/>
      <w:outlineLvl w:val="4"/>
    </w:pPr>
    <w:rPr>
      <w:b/>
      <w:sz w:val="22"/>
      <w:szCs w:val="22"/>
    </w:rPr>
  </w:style>
  <w:style w:type="paragraph" w:styleId="6">
    <w:name w:val="heading 6"/>
    <w:basedOn w:val="a"/>
    <w:next w:val="a"/>
    <w:rsid w:val="002D4FA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D4FA6"/>
  </w:style>
  <w:style w:type="table" w:customStyle="1" w:styleId="TableNormal">
    <w:name w:val="Table Normal"/>
    <w:rsid w:val="002D4FA6"/>
    <w:tblPr>
      <w:tblCellMar>
        <w:top w:w="0" w:type="dxa"/>
        <w:left w:w="0" w:type="dxa"/>
        <w:bottom w:w="0" w:type="dxa"/>
        <w:right w:w="0" w:type="dxa"/>
      </w:tblCellMar>
    </w:tblPr>
  </w:style>
  <w:style w:type="paragraph" w:styleId="a3">
    <w:name w:val="Title"/>
    <w:basedOn w:val="a"/>
    <w:next w:val="a"/>
    <w:rsid w:val="002D4FA6"/>
    <w:pPr>
      <w:keepNext/>
      <w:keepLines/>
      <w:spacing w:before="480" w:after="120"/>
    </w:pPr>
    <w:rPr>
      <w:b/>
      <w:sz w:val="72"/>
      <w:szCs w:val="72"/>
    </w:rPr>
  </w:style>
  <w:style w:type="table" w:customStyle="1" w:styleId="TableNormal0">
    <w:name w:val="Table Normal"/>
    <w:rsid w:val="002D4FA6"/>
    <w:tblPr>
      <w:tblCellMar>
        <w:top w:w="0" w:type="dxa"/>
        <w:left w:w="0" w:type="dxa"/>
        <w:bottom w:w="0" w:type="dxa"/>
        <w:right w:w="0" w:type="dxa"/>
      </w:tblCellMar>
    </w:tblPr>
  </w:style>
  <w:style w:type="paragraph" w:styleId="a4">
    <w:name w:val="Subtitle"/>
    <w:basedOn w:val="normal"/>
    <w:next w:val="normal"/>
    <w:rsid w:val="002D4FA6"/>
    <w:pPr>
      <w:keepNext/>
      <w:keepLines/>
      <w:spacing w:before="360" w:after="80"/>
    </w:pPr>
    <w:rPr>
      <w:rFonts w:ascii="Georgia" w:eastAsia="Georgia" w:hAnsi="Georgia" w:cs="Georgia"/>
      <w:i/>
      <w:color w:val="666666"/>
      <w:sz w:val="48"/>
      <w:szCs w:val="48"/>
    </w:rPr>
  </w:style>
  <w:style w:type="table" w:customStyle="1" w:styleId="a5">
    <w:basedOn w:val="TableNormal0"/>
    <w:rsid w:val="002D4FA6"/>
    <w:tblPr>
      <w:tblStyleRowBandSize w:val="1"/>
      <w:tblStyleColBandSize w:val="1"/>
      <w:tblCellMar>
        <w:top w:w="0" w:type="dxa"/>
        <w:left w:w="115" w:type="dxa"/>
        <w:bottom w:w="0" w:type="dxa"/>
        <w:right w:w="115" w:type="dxa"/>
      </w:tblCellMar>
    </w:tblPr>
  </w:style>
  <w:style w:type="table" w:customStyle="1" w:styleId="a6">
    <w:basedOn w:val="TableNormal0"/>
    <w:rsid w:val="002D4FA6"/>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7">
    <w:basedOn w:val="TableNormal0"/>
    <w:rsid w:val="002D4FA6"/>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XlIxEBrcBCw/Q9V+uDyqh312Mg==">CgMxLjAyCGguZ2pkZ3hzOAByITE3SW5VRWVWUGlrRDJXTzFVRU5vVzBKTG4ybnBmVURiWQ==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1190</Characters>
  <Application>Microsoft Office Word</Application>
  <DocSecurity>0</DocSecurity>
  <Lines>9</Lines>
  <Paragraphs>2</Paragraphs>
  <ScaleCrop>false</ScaleCrop>
  <Company>Reanimator Extreme Edition</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Sulpak</cp:lastModifiedBy>
  <cp:revision>3</cp:revision>
  <dcterms:created xsi:type="dcterms:W3CDTF">2025-01-22T13:06:00Z</dcterms:created>
  <dcterms:modified xsi:type="dcterms:W3CDTF">2025-01-22T13:09:00Z</dcterms:modified>
</cp:coreProperties>
</file>